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D54D14">
            <w:pPr>
              <w:tabs>
                <w:tab w:val="left" w:pos="1342"/>
              </w:tabs>
              <w:ind w:firstLine="0"/>
              <w:jc w:val="left"/>
              <w:rPr>
                <w:rStyle w:val="rvts15"/>
                <w:sz w:val="24"/>
              </w:rPr>
            </w:pPr>
            <w:r>
              <w:rPr>
                <w:rStyle w:val="rvts15"/>
                <w:sz w:val="24"/>
              </w:rPr>
              <w:t xml:space="preserve">від </w:t>
            </w:r>
            <w:r w:rsidR="00D54D14">
              <w:rPr>
                <w:rStyle w:val="rvts15"/>
                <w:sz w:val="24"/>
              </w:rPr>
              <w:t>22</w:t>
            </w:r>
            <w:r>
              <w:rPr>
                <w:rStyle w:val="rvts15"/>
                <w:sz w:val="24"/>
              </w:rPr>
              <w:t>.</w:t>
            </w:r>
            <w:r w:rsidR="00C73B8F">
              <w:rPr>
                <w:rStyle w:val="rvts15"/>
                <w:sz w:val="24"/>
              </w:rPr>
              <w:t>1</w:t>
            </w:r>
            <w:r w:rsidR="00D54D14">
              <w:rPr>
                <w:rStyle w:val="rvts15"/>
                <w:sz w:val="24"/>
              </w:rPr>
              <w:t>1</w:t>
            </w:r>
            <w:r>
              <w:rPr>
                <w:rStyle w:val="rvts15"/>
                <w:sz w:val="24"/>
              </w:rPr>
              <w:t>.2019 №</w:t>
            </w:r>
            <w:r w:rsidR="00845B5D">
              <w:rPr>
                <w:rStyle w:val="rvts15"/>
                <w:sz w:val="24"/>
              </w:rPr>
              <w:t xml:space="preserve"> </w:t>
            </w:r>
            <w:r w:rsidR="00D54D14">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303C67" w:rsidP="00E352B8">
      <w:pPr>
        <w:tabs>
          <w:tab w:val="left" w:pos="1342"/>
        </w:tabs>
        <w:jc w:val="center"/>
        <w:rPr>
          <w:rStyle w:val="rvts15"/>
          <w:b/>
          <w:sz w:val="24"/>
        </w:rPr>
      </w:pPr>
      <w:r>
        <w:rPr>
          <w:rStyle w:val="rvts15"/>
          <w:b/>
          <w:sz w:val="24"/>
        </w:rPr>
        <w:t xml:space="preserve">провідного спеціаліста відділу </w:t>
      </w:r>
      <w:r w:rsidR="00C36E0A">
        <w:rPr>
          <w:rStyle w:val="rvts15"/>
          <w:b/>
          <w:sz w:val="24"/>
        </w:rPr>
        <w:t>договірної роботи</w:t>
      </w:r>
      <w:r>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26DE">
            <w:pPr>
              <w:pStyle w:val="rvps14"/>
              <w:spacing w:before="0" w:after="0"/>
            </w:pPr>
            <w:r w:rsidRPr="0088768A">
              <w:t xml:space="preserve">посадовий оклад – </w:t>
            </w:r>
            <w:r w:rsidR="007626DE">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837ABB">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837ABB">
              <w:rPr>
                <w:lang w:val="uk-UA"/>
              </w:rPr>
              <w:t>8</w:t>
            </w:r>
            <w:r w:rsidR="00AE360C">
              <w:rPr>
                <w:lang w:val="uk-UA"/>
              </w:rPr>
              <w:t xml:space="preserve"> год. 00 хв. </w:t>
            </w:r>
            <w:r w:rsidR="00837ABB">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837ABB">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молодший бакалавр, 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12749"/>
    <w:rsid w:val="00136530"/>
    <w:rsid w:val="00164FCC"/>
    <w:rsid w:val="001712C9"/>
    <w:rsid w:val="001A0052"/>
    <w:rsid w:val="001A45F2"/>
    <w:rsid w:val="001D554F"/>
    <w:rsid w:val="001F2E7D"/>
    <w:rsid w:val="002130B3"/>
    <w:rsid w:val="00213DEC"/>
    <w:rsid w:val="00214A5D"/>
    <w:rsid w:val="00233E69"/>
    <w:rsid w:val="0026029A"/>
    <w:rsid w:val="002731AD"/>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37ABB"/>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36E0A"/>
    <w:rsid w:val="00C73B8F"/>
    <w:rsid w:val="00C76784"/>
    <w:rsid w:val="00C867F0"/>
    <w:rsid w:val="00CA3FCF"/>
    <w:rsid w:val="00CB00F6"/>
    <w:rsid w:val="00CC1D48"/>
    <w:rsid w:val="00CD27E5"/>
    <w:rsid w:val="00D20451"/>
    <w:rsid w:val="00D33396"/>
    <w:rsid w:val="00D50C4C"/>
    <w:rsid w:val="00D54D14"/>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4178</Words>
  <Characters>2382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2019-10-18T08:20:00Z</cp:lastPrinted>
  <dcterms:created xsi:type="dcterms:W3CDTF">2019-11-20T12:33:00Z</dcterms:created>
  <dcterms:modified xsi:type="dcterms:W3CDTF">2019-11-22T12:34:00Z</dcterms:modified>
</cp:coreProperties>
</file>