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633564">
            <w:pPr>
              <w:tabs>
                <w:tab w:val="left" w:pos="1342"/>
              </w:tabs>
              <w:ind w:firstLine="0"/>
              <w:jc w:val="left"/>
              <w:rPr>
                <w:rStyle w:val="rvts15"/>
                <w:sz w:val="24"/>
              </w:rPr>
            </w:pPr>
            <w:r>
              <w:rPr>
                <w:rStyle w:val="rvts15"/>
                <w:sz w:val="24"/>
              </w:rPr>
              <w:t xml:space="preserve">від </w:t>
            </w:r>
            <w:r w:rsidR="00633564">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633564">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3732BE" w:rsidP="00E352B8">
      <w:pPr>
        <w:tabs>
          <w:tab w:val="left" w:pos="1342"/>
        </w:tabs>
        <w:jc w:val="center"/>
        <w:rPr>
          <w:rStyle w:val="rvts15"/>
        </w:rPr>
      </w:pPr>
      <w:r>
        <w:rPr>
          <w:rStyle w:val="rvts15"/>
          <w:b/>
          <w:sz w:val="24"/>
        </w:rPr>
        <w:t>головного</w:t>
      </w:r>
      <w:r w:rsidR="00EA2B1B">
        <w:rPr>
          <w:rStyle w:val="rvts15"/>
          <w:b/>
          <w:sz w:val="24"/>
        </w:rPr>
        <w:t xml:space="preserve"> спеціаліста відділу </w:t>
      </w:r>
      <w:r>
        <w:rPr>
          <w:rStyle w:val="rvts15"/>
          <w:b/>
          <w:sz w:val="24"/>
        </w:rPr>
        <w:t>ринку та оцінки земель</w:t>
      </w:r>
      <w:r w:rsidR="006157E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732BE" w:rsidRPr="002871E9" w:rsidRDefault="003732BE" w:rsidP="003732BE">
            <w:pPr>
              <w:ind w:left="540" w:firstLine="540"/>
              <w:jc w:val="left"/>
              <w:rPr>
                <w:sz w:val="24"/>
              </w:rPr>
            </w:pPr>
            <w:r w:rsidRPr="002871E9">
              <w:rPr>
                <w:sz w:val="24"/>
              </w:rPr>
              <w:t>забезпечує виконання покладених на відділ завдань щодо участі у реалізації державної політики в процесі здійснення державного управління земельними ресурс</w:t>
            </w:r>
            <w:r>
              <w:rPr>
                <w:sz w:val="24"/>
              </w:rPr>
              <w:t>ами;</w:t>
            </w:r>
          </w:p>
          <w:p w:rsidR="003732BE" w:rsidRDefault="003732BE" w:rsidP="003732BE">
            <w:pPr>
              <w:ind w:left="540" w:firstLine="540"/>
              <w:jc w:val="left"/>
              <w:rPr>
                <w:sz w:val="24"/>
              </w:rPr>
            </w:pPr>
            <w:r w:rsidRPr="002871E9">
              <w:rPr>
                <w:sz w:val="24"/>
              </w:rPr>
              <w:t>організовує та координує проведення робіт з грошової оцінки земель усіх категорій</w:t>
            </w:r>
            <w:r>
              <w:rPr>
                <w:sz w:val="24"/>
              </w:rPr>
              <w:t>;</w:t>
            </w:r>
          </w:p>
          <w:p w:rsidR="003732BE" w:rsidRPr="002871E9" w:rsidRDefault="003732BE" w:rsidP="003732BE">
            <w:pPr>
              <w:ind w:left="540" w:firstLine="540"/>
              <w:jc w:val="left"/>
              <w:rPr>
                <w:sz w:val="24"/>
              </w:rPr>
            </w:pPr>
            <w:r w:rsidRPr="002871E9">
              <w:rPr>
                <w:sz w:val="24"/>
              </w:rPr>
              <w:t>надає оперативну інформацію щодо продажу земельних ділянок та надходження коштів від продажу до бюджетів усіх рівнів</w:t>
            </w:r>
            <w:r>
              <w:rPr>
                <w:sz w:val="24"/>
              </w:rPr>
              <w:t>;</w:t>
            </w:r>
          </w:p>
          <w:p w:rsidR="003732BE" w:rsidRPr="002871E9" w:rsidRDefault="003732BE" w:rsidP="003732BE">
            <w:pPr>
              <w:ind w:left="540" w:firstLine="540"/>
              <w:jc w:val="left"/>
              <w:rPr>
                <w:sz w:val="24"/>
              </w:rPr>
            </w:pPr>
            <w:r w:rsidRPr="002871E9">
              <w:rPr>
                <w:sz w:val="24"/>
              </w:rPr>
              <w:t xml:space="preserve"> розробляє поточні плани та бере участь у підготовці перспективних планів роботи відділу, веде розробку пропозицій, комплексів заходів, які стосуються організації та проведення нарад, семінарів, конференцій та інших організаційних заходів, надає необхідну методичну допомогу у виконанні завдань, доручень</w:t>
            </w:r>
            <w:r>
              <w:rPr>
                <w:sz w:val="24"/>
              </w:rPr>
              <w:t>;</w:t>
            </w:r>
            <w:r w:rsidRPr="002871E9">
              <w:rPr>
                <w:sz w:val="24"/>
              </w:rPr>
              <w:t xml:space="preserve"> </w:t>
            </w:r>
          </w:p>
          <w:p w:rsidR="003732BE" w:rsidRDefault="003732BE" w:rsidP="003732BE">
            <w:pPr>
              <w:ind w:left="540" w:firstLine="540"/>
              <w:jc w:val="left"/>
              <w:rPr>
                <w:sz w:val="24"/>
              </w:rPr>
            </w:pPr>
            <w:r w:rsidRPr="002871E9">
              <w:rPr>
                <w:sz w:val="24"/>
              </w:rPr>
              <w:t>бере участь у розробленні нормативних та орга</w:t>
            </w:r>
            <w:r>
              <w:rPr>
                <w:sz w:val="24"/>
              </w:rPr>
              <w:t>нізаційно-методичних документів;</w:t>
            </w:r>
          </w:p>
          <w:p w:rsidR="003732BE" w:rsidRPr="002871E9" w:rsidRDefault="003732BE" w:rsidP="003732BE">
            <w:pPr>
              <w:ind w:left="540" w:firstLine="540"/>
              <w:jc w:val="left"/>
              <w:rPr>
                <w:sz w:val="24"/>
              </w:rPr>
            </w:pPr>
            <w:r w:rsidRPr="002871E9">
              <w:rPr>
                <w:sz w:val="24"/>
              </w:rPr>
              <w:t xml:space="preserve">співпрацює з органами виконавчої влади та органами місцевого самоврядування при виконанні покладених на відділ завдань; </w:t>
            </w:r>
          </w:p>
          <w:p w:rsidR="003732BE" w:rsidRPr="002871E9" w:rsidRDefault="003732BE" w:rsidP="003732BE">
            <w:pPr>
              <w:ind w:left="540" w:firstLine="540"/>
              <w:jc w:val="left"/>
              <w:rPr>
                <w:sz w:val="24"/>
              </w:rPr>
            </w:pPr>
            <w:r w:rsidRPr="002871E9">
              <w:rPr>
                <w:sz w:val="24"/>
              </w:rPr>
              <w:t xml:space="preserve">організовує, регулює та контролює своєчасний та якісний розгляд працівниками відділу звернень від органів виконавчої влади, громадських об’єднань, підприємств, установ та організацій, громадян з напряму діяльності відділу; </w:t>
            </w:r>
          </w:p>
          <w:p w:rsidR="003732BE" w:rsidRPr="002871E9" w:rsidRDefault="003732BE" w:rsidP="003732BE">
            <w:pPr>
              <w:ind w:left="540" w:firstLine="540"/>
              <w:jc w:val="left"/>
              <w:rPr>
                <w:sz w:val="24"/>
              </w:rPr>
            </w:pPr>
            <w:r w:rsidRPr="002871E9">
              <w:rPr>
                <w:sz w:val="24"/>
              </w:rPr>
              <w:t xml:space="preserve">сприяє підвищенню кваліфікації працівників, забезпечує дотримання працівниками відділу правил внутрішнього трудового розпорядку, </w:t>
            </w:r>
          </w:p>
          <w:p w:rsidR="003732BE" w:rsidRPr="002871E9" w:rsidRDefault="003732BE" w:rsidP="003732BE">
            <w:pPr>
              <w:ind w:left="540" w:firstLine="540"/>
              <w:jc w:val="left"/>
              <w:rPr>
                <w:sz w:val="24"/>
              </w:rPr>
            </w:pPr>
            <w:r w:rsidRPr="002871E9">
              <w:rPr>
                <w:sz w:val="24"/>
              </w:rPr>
              <w:t xml:space="preserve">організовує у відділі роботу із захисту державних таємниць у відповідності з чинним законодавством; </w:t>
            </w:r>
          </w:p>
          <w:p w:rsidR="003732BE" w:rsidRPr="002871E9" w:rsidRDefault="003732BE" w:rsidP="003732BE">
            <w:pPr>
              <w:ind w:left="540" w:firstLine="540"/>
              <w:jc w:val="left"/>
              <w:rPr>
                <w:sz w:val="24"/>
              </w:rPr>
            </w:pPr>
            <w:r w:rsidRPr="002871E9">
              <w:rPr>
                <w:sz w:val="24"/>
              </w:rPr>
              <w:t xml:space="preserve">організовує роботу з документами, контролює стан трудової та виконавчої дисципліни; </w:t>
            </w:r>
          </w:p>
          <w:p w:rsidR="003732BE" w:rsidRPr="002871E9" w:rsidRDefault="003732BE" w:rsidP="003732BE">
            <w:pPr>
              <w:ind w:left="540" w:firstLine="540"/>
              <w:jc w:val="left"/>
              <w:rPr>
                <w:sz w:val="24"/>
              </w:rPr>
            </w:pPr>
            <w:r w:rsidRPr="002871E9">
              <w:rPr>
                <w:sz w:val="24"/>
              </w:rPr>
              <w:t>забезпечує дотримання працівниками відділу законодавства України з питань державної служби та боротьби з корупцією.</w:t>
            </w:r>
          </w:p>
          <w:p w:rsidR="00AE360C" w:rsidRPr="002B757E" w:rsidRDefault="00AE360C" w:rsidP="00EA2B1B">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 xml:space="preserve">надбавка за ранг державного службовця відповідно до вимог </w:t>
            </w:r>
            <w:r w:rsidRPr="0088768A">
              <w:rPr>
                <w:color w:val="000000"/>
              </w:rPr>
              <w:lastRenderedPageBreak/>
              <w:t>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lastRenderedPageBreak/>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3732BE" w:rsidP="003732BE">
            <w:pPr>
              <w:pStyle w:val="rvps14"/>
              <w:jc w:val="both"/>
            </w:pPr>
            <w:r>
              <w:rPr>
                <w:rStyle w:val="rvts0"/>
              </w:rPr>
              <w:t xml:space="preserve">бакалавр, </w:t>
            </w:r>
            <w:r w:rsidRPr="00031FE2">
              <w:rPr>
                <w:rStyle w:val="rvts0"/>
              </w:rPr>
              <w:t xml:space="preserve">магістр, </w:t>
            </w:r>
            <w:r w:rsidRPr="00DE41AB">
              <w:t xml:space="preserve">за </w:t>
            </w:r>
            <w:r w:rsidRPr="00F64B22">
              <w:t>спеціальністю</w:t>
            </w:r>
            <w:r w:rsidRPr="004D1935">
              <w:t xml:space="preserve"> «Геодезія та землеустрій», «Геодезія та картографія», «Землевпорядкування та кадастр», «Землеустрій», «Право»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EA2B1B" w:rsidRDefault="00EA2B1B" w:rsidP="00EA2B1B">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EA2B1B" w:rsidRDefault="00EA2B1B" w:rsidP="00EA2B1B">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EA2B1B" w:rsidRDefault="00EA2B1B" w:rsidP="00EA2B1B">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AE360C" w:rsidRPr="008360A3" w:rsidRDefault="00EA2B1B" w:rsidP="00EA2B1B">
            <w:pPr>
              <w:spacing w:line="256" w:lineRule="auto"/>
              <w:ind w:firstLine="0"/>
              <w:rPr>
                <w:sz w:val="24"/>
              </w:rPr>
            </w:pPr>
            <w:r>
              <w:rPr>
                <w:sz w:val="24"/>
              </w:rPr>
              <w:t>5)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6157E3">
            <w:pPr>
              <w:pStyle w:val="1"/>
              <w:widowControl w:val="0"/>
              <w:spacing w:line="256" w:lineRule="auto"/>
              <w:ind w:left="37" w:firstLine="0"/>
              <w:rPr>
                <w:sz w:val="24"/>
              </w:rPr>
            </w:pPr>
            <w:r>
              <w:rPr>
                <w:sz w:val="24"/>
              </w:rPr>
              <w:t>Закони України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72B0"/>
    <w:rsid w:val="00450933"/>
    <w:rsid w:val="00460FCC"/>
    <w:rsid w:val="004A0493"/>
    <w:rsid w:val="005031A9"/>
    <w:rsid w:val="00517560"/>
    <w:rsid w:val="0056405C"/>
    <w:rsid w:val="005B2710"/>
    <w:rsid w:val="005D03A9"/>
    <w:rsid w:val="006157E3"/>
    <w:rsid w:val="00633564"/>
    <w:rsid w:val="006659E0"/>
    <w:rsid w:val="006A3F35"/>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4043</Words>
  <Characters>2306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2019-10-18T08:43:00Z</cp:lastPrinted>
  <dcterms:created xsi:type="dcterms:W3CDTF">2019-10-16T13:22:00Z</dcterms:created>
  <dcterms:modified xsi:type="dcterms:W3CDTF">2019-10-18T08:43:00Z</dcterms:modified>
</cp:coreProperties>
</file>